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/>
        <w:jc w:val="right"/>
      </w:pPr>
      <w:r>
        <w:rPr>
          <w:b/>
          <w:color w:val="1F2A67"/>
          <w:sz w:val="40"/>
          <w:szCs w:val="40"/>
        </w:rPr>
        <w:t xml:space="preserve">QUOTATION</w:t>
      </w:r>
    </w:p>
    <w:p>
      <w:pPr>
        <w:spacing w:before="0" w:after="40"/>
      </w:pPr>
      <w:r>
        <w:rPr>
          <w:b/>
          <w:color w:val="1F2A67"/>
          <w:sz w:val="30"/>
          <w:szCs w:val="30"/>
        </w:rPr>
        <w:t xml:space="preserve">SECUREVIEW SYSTEMS</w:t>
      </w:r>
    </w:p>
    <w:p>
      <w:pPr>
        <w:spacing w:before="0" w:after="200"/>
      </w:pPr>
      <w:r>
        <w:t xml:space="preserve">Kochi  |  GSTIN 32ABCDE1234F1Z5 (sample)</w:t>
      </w:r>
    </w:p>
    <w:p>
      <w:pPr>
        <w:spacing w:before="0" w:after="200"/>
      </w:pPr>
      <w:r>
        <w:rPr>
          <w:b/>
          <w:color w:val="0EA5A4"/>
          <w:sz w:val="16"/>
          <w:szCs w:val="16"/>
        </w:rPr>
        <w:t xml:space="preserve">QUOTATION NO. </w:t>
      </w:r>
      <w:r>
        <w:t xml:space="preserve">QT/2026-27/003     </w:t>
      </w:r>
      <w:r>
        <w:rPr>
          <w:b/>
          <w:color w:val="0EA5A4"/>
          <w:sz w:val="16"/>
          <w:szCs w:val="16"/>
        </w:rPr>
        <w:t xml:space="preserve">DATE </w:t>
      </w:r>
      <w:r>
        <w:t xml:space="preserve">01 Oct 2026     </w:t>
      </w:r>
      <w:r>
        <w:rPr>
          <w:b/>
          <w:color w:val="0EA5A4"/>
          <w:sz w:val="16"/>
          <w:szCs w:val="16"/>
        </w:rPr>
        <w:t xml:space="preserve">VALID TILL </w:t>
      </w:r>
      <w:r>
        <w:t xml:space="preserve">11 Oct 2026</w:t>
      </w:r>
    </w:p>
    <w:p>
      <w:pPr>
        <w:spacing w:before="0" w:after="20"/>
      </w:pPr>
      <w:r>
        <w:rPr>
          <w:b/>
          <w:color w:val="1F2A67"/>
        </w:rPr>
        <w:t xml:space="preserve">Bill To</w:t>
      </w:r>
    </w:p>
    <w:p>
      <w:pPr>
        <w:spacing w:before="0" w:after="120"/>
      </w:pPr>
      <w:r>
        <w:t xml:space="preserve">Lakshmi Textiles, MG Road, Kochi</w:t>
      </w:r>
    </w:p>
    <w:p>
      <w:pPr>
        <w:spacing w:before="0" w:after="200"/>
      </w:pPr>
      <w:r>
        <w:rPr>
          <w:b/>
          <w:color w:val="1F2A67"/>
        </w:rPr>
        <w:t xml:space="preserve">Subject: </w:t>
      </w:r>
      <w:r>
        <w:t xml:space="preserve">Supply and installation of IP CCTV system (6 cameras)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left w:w="80" w:type="dxa"/>
          <w:right w:w="80" w:type="dxa"/>
        </w:tblCellMar>
      </w:tblPr>
      <w:tblGrid>
        <w:gridCol w:w="450"/>
        <w:gridCol w:w="3900"/>
        <w:gridCol w:w="700"/>
        <w:gridCol w:w="800"/>
        <w:gridCol w:w="1300"/>
        <w:gridCol w:w="700"/>
        <w:gridCol w:w="1788"/>
      </w:tblGrid>
      <w:tr>
        <w:tc>
          <w:tcPr>
            <w:tcW w:w="45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9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8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Rate (Rs.)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GST</w:t>
            </w:r>
          </w:p>
        </w:tc>
        <w:tc>
          <w:tcPr>
            <w:tcW w:w="1788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Amount (Rs.)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4MP IP dome camera, PoE, 30 m IR night vision, indoor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2,450.00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9,800.00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4MP IP bullet camera, PoE, 40 m IR, IP67 outdoor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2,750.00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5,500.00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8-channel NVR with 8 PoE ports, H.265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7,800.00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7,800.00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2TB surveillance hard disk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5,600.00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5,600.00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Cat6 cable, copper (estimated, billed as per actual)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180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Mtr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24.00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4,320.00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PVC conduit, bends, clamps and junction boxes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Lot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1,800.00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1,800.00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7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RJ45 connectors and boots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Pcs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25.00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8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Installation, configuration and mobile app setup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Points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650.00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3,900.00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Taxable value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39,020.00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GST @ 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7,023.60</w:t>
            </w:r>
          </w:p>
        </w:tc>
      </w:tr>
      <w:tr>
        <w:tc>
          <w:tcPr>
            <w:tcW w:w="7850" w:type="dxa"/>
            <w:gridSpan w:val="6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Grand Total</w:t>
            </w:r>
          </w:p>
        </w:tc>
        <w:tc>
          <w:tcPr>
            <w:tcW w:w="1788" w:type="dxa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67"/>
              </w:rPr>
              <w:t xml:space="preserve">Rs. 46,044.00</w:t>
            </w:r>
          </w:p>
        </w:tc>
      </w:tr>
    </w:tbl>
    <w:p>
      <w:pPr>
        <w:spacing w:before="240" w:after="60"/>
      </w:pPr>
      <w:r>
        <w:rPr>
          <w:b/>
        </w:rPr>
        <w:t xml:space="preserve">Terms &amp; Conditions</w:t>
      </w:r>
    </w:p>
    <w:p>
      <w:pPr>
        <w:spacing w:before="0" w:after="20"/>
      </w:pPr>
      <w:r>
        <w:rPr>
          <w:color w:val="64748B"/>
        </w:rPr>
        <w:t xml:space="preserve">• Valid for 10 days. Camera prices may change after that.</w:t>
      </w:r>
    </w:p>
    <w:p>
      <w:pPr>
        <w:spacing w:before="0" w:after="20"/>
      </w:pPr>
      <w:r>
        <w:rPr>
          <w:color w:val="64748B"/>
        </w:rPr>
        <w:t xml:space="preserve">• Approx. 8 to 15 days continuous recording on the 2TB disk.</w:t>
      </w:r>
    </w:p>
    <w:p>
      <w:pPr>
        <w:spacing w:before="0" w:after="20"/>
      </w:pPr>
      <w:r>
        <w:rPr>
          <w:color w:val="64748B"/>
        </w:rPr>
        <w:t xml:space="preserve">• Warranty: cameras and NVR 2 years, hard disk as per manufacturer.</w:t>
      </w:r>
    </w:p>
    <w:p>
      <w:pPr>
        <w:spacing w:before="0" w:after="20"/>
      </w:pPr>
      <w:r>
        <w:rPr>
          <w:color w:val="64748B"/>
        </w:rPr>
        <w:t xml:space="preserve">• Excludes power points, internet connection and civil work.</w:t>
      </w:r>
    </w:p>
    <w:p>
      <w:pPr>
        <w:spacing w:before="240" w:after="40"/>
      </w:pPr>
      <w:r>
        <w:rPr>
          <w:b/>
        </w:rPr>
        <w:t xml:space="preserve">Bank / UPI details (sample)</w:t>
      </w:r>
    </w:p>
    <w:p>
      <w:pPr>
        <w:spacing w:before="0" w:after="20"/>
      </w:pPr>
      <w:r>
        <w:t xml:space="preserve">Sample Bank, A/c 000123456789, IFSC SAMP0001234</w:t>
      </w:r>
    </w:p>
    <w:p>
      <w:pPr>
        <w:spacing w:before="0" w:after="240"/>
      </w:pPr>
      <w:r>
        <w:t xml:space="preserve">UPI: secureviewsystems@upi</w:t>
      </w:r>
    </w:p>
    <w:p>
      <w:pPr>
        <w:spacing w:before="0" w:after="20"/>
        <w:jc w:val="right"/>
      </w:pPr>
      <w:r>
        <w:rPr>
          <w:b/>
        </w:rPr>
        <w:t xml:space="preserve">For SecureView Systems</w:t>
      </w:r>
    </w:p>
    <w:p>
      <w:pPr>
        <w:spacing w:before="0" w:after="0"/>
        <w:jc w:val="right"/>
      </w:pPr>
      <w:r>
        <w:drawing>
          <wp:inline distT="0" distB="0" distL="0" distR="0">
            <wp:extent cx="1524000" cy="457200"/>
            <wp:docPr id="1" name="Sample signature" descr="Sample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ple signature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right"/>
      </w:pPr>
      <w:r>
        <w:rPr>
          <w:color w:val="64748B"/>
        </w:rPr>
        <w:t xml:space="preserve">Authorised signatory</w:t>
      </w:r>
    </w:p>
    <w:p>
      <w:pPr>
        <w:spacing w:before="0" w:after="20"/>
        <w:jc w:val="right"/>
      </w:pPr>
      <w:r>
        <w:drawing>
          <wp:inline distT="0" distB="0" distL="0" distR="0">
            <wp:extent cx="939800" cy="939800"/>
            <wp:docPr id="2" name="Sample payment QR code" descr="Sample payment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 payment QR cod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right"/>
      </w:pPr>
      <w:r>
        <w:rPr>
          <w:color w:val="64748B"/>
          <w:sz w:val="16"/>
          <w:szCs w:val="16"/>
        </w:rPr>
        <w:t xml:space="preserve">Scan to Pay (sample)</w:t>
      </w:r>
    </w:p>
    <w:p>
      <w:pPr>
        <w:spacing w:before="0" w:after="0"/>
      </w:pPr>
      <w:r>
        <w:rPr>
          <w:color w:val="666666"/>
          <w:sz w:val="16"/>
          <w:szCs w:val="16"/>
        </w:rPr>
        <w:t xml:space="preserve">Sample for reference. GSTIN, bank and UPI details are made up. Confirm GST rates with your accountant.</w:t>
      </w:r>
    </w:p>
    <w:sectPr>
      <w:footerReference w:type="default" r:id="rId1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666666"/>
        <w:sz w:val="16"/>
        <w:szCs w:val="16"/>
      </w:rPr>
      <w:t xml:space="preserve">Made with Quotely Pro — quotelypro.in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n-IN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footer" Target="footer1.xml"/>
<Relationship Id="rId2" Type="http://schemas.openxmlformats.org/officeDocument/2006/relationships/styles" Target="styles.xml"/>
<Relationship Id="rId3" Type="http://schemas.openxmlformats.org/officeDocument/2006/relationships/image" Target="media/signature.png"/>
<Relationship Id="rId4" Type="http://schemas.openxmlformats.org/officeDocument/2006/relationships/image" Target="media/qr.png"/>
</Relationships>
</file>