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0"/>
        <w:jc w:val="right"/>
      </w:pPr>
      <w:r>
        <w:rPr>
          <w:b/>
          <w:color w:val="1F2A67"/>
          <w:sz w:val="40"/>
          <w:szCs w:val="40"/>
        </w:rPr>
        <w:t xml:space="preserve">QUOTATION</w:t>
      </w:r>
    </w:p>
    <w:p>
      <w:pPr>
        <w:spacing w:before="0" w:after="40"/>
      </w:pPr>
      <w:r>
        <w:rPr>
          <w:b/>
          <w:color w:val="1F2A67"/>
          <w:sz w:val="30"/>
          <w:szCs w:val="30"/>
        </w:rPr>
        <w:t xml:space="preserve">NETLINK INFRA SOLUTIONS</w:t>
      </w:r>
    </w:p>
    <w:p>
      <w:pPr>
        <w:spacing w:before="0" w:after="200"/>
      </w:pPr>
      <w:r>
        <w:t xml:space="preserve">Ahmedabad  |  GSTIN 24ABCDE1234F1Z5 (sample)</w:t>
      </w:r>
    </w:p>
    <w:p>
      <w:pPr>
        <w:spacing w:before="0" w:after="200"/>
      </w:pPr>
      <w:r>
        <w:rPr>
          <w:b/>
          <w:color w:val="0EA5A4"/>
          <w:sz w:val="16"/>
          <w:szCs w:val="16"/>
        </w:rPr>
        <w:t xml:space="preserve">QUOTATION NO. </w:t>
      </w:r>
      <w:r>
        <w:t xml:space="preserve">QT/2026-27/008     </w:t>
      </w:r>
      <w:r>
        <w:rPr>
          <w:b/>
          <w:color w:val="0EA5A4"/>
          <w:sz w:val="16"/>
          <w:szCs w:val="16"/>
        </w:rPr>
        <w:t xml:space="preserve">DATE </w:t>
      </w:r>
      <w:r>
        <w:t xml:space="preserve">01 Oct 2026     </w:t>
      </w:r>
      <w:r>
        <w:rPr>
          <w:b/>
          <w:color w:val="0EA5A4"/>
          <w:sz w:val="16"/>
          <w:szCs w:val="16"/>
        </w:rPr>
        <w:t xml:space="preserve">VALID TILL </w:t>
      </w:r>
      <w:r>
        <w:t xml:space="preserve">16 Oct 2026</w:t>
      </w:r>
    </w:p>
    <w:p>
      <w:pPr>
        <w:spacing w:before="0" w:after="20"/>
      </w:pPr>
      <w:r>
        <w:rPr>
          <w:b/>
          <w:color w:val="1F2A67"/>
        </w:rPr>
        <w:t xml:space="preserve">Bill To</w:t>
      </w:r>
    </w:p>
    <w:p>
      <w:pPr>
        <w:spacing w:before="0" w:after="120"/>
      </w:pPr>
      <w:r>
        <w:t xml:space="preserve">Patel &amp; Associates, Chartered Accountants, Navrangpura</w:t>
      </w:r>
    </w:p>
    <w:p>
      <w:pPr>
        <w:spacing w:before="0" w:after="200"/>
      </w:pPr>
      <w:r>
        <w:rPr>
          <w:b/>
          <w:color w:val="1F2A67"/>
        </w:rPr>
        <w:t xml:space="preserve">Subject: </w:t>
      </w:r>
      <w:r>
        <w:t xml:space="preserve">Structured cabling and Wi-Fi for new office (24 nodes)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left w:w="80" w:type="dxa"/>
          <w:right w:w="80" w:type="dxa"/>
        </w:tblCellMar>
      </w:tblPr>
      <w:tblGrid>
        <w:gridCol w:w="450"/>
        <w:gridCol w:w="3900"/>
        <w:gridCol w:w="700"/>
        <w:gridCol w:w="800"/>
        <w:gridCol w:w="1300"/>
        <w:gridCol w:w="700"/>
        <w:gridCol w:w="1788"/>
      </w:tblGrid>
      <w:tr>
        <w:tc>
          <w:tcPr>
            <w:tcW w:w="45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39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8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Rate (Rs.)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GST</w:t>
            </w:r>
          </w:p>
        </w:tc>
        <w:tc>
          <w:tcPr>
            <w:tcW w:w="1788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Amount (Rs.)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24-port gigabit smart switch with 4 SFP uplinks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14,500.00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14,500.00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Cat6 UTP cable, 305 m box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Box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9,800.00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29,400.00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24-port Cat6 patch panel, loaded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4,200.00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4,200.00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4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Cat6 I/O module with face plate and box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24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280.00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6,720.00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5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Cat6 patch cords, 1 m and 2 m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48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120.00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5,760.00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6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9U wall-mount rack with shelf, fan and PDU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8,500.00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8,500.00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7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Wi-Fi 6 ceiling access point, PoE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7,800.00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15,600.00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8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PVC casing and capping, 25 mm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120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Mtr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45.00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5,400.00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9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Cable laying and termination per node (up to 40 m)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24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Nodes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350.00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8,400.00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10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Testing, labelling and port map documentation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Job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3,000.00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3,000.00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Taxable value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1,01,480.00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GST @ 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18,266.40</w:t>
            </w:r>
          </w:p>
        </w:tc>
      </w:tr>
      <w:tr>
        <w:tc>
          <w:tcPr>
            <w:tcW w:w="7850" w:type="dxa"/>
            <w:gridSpan w:val="6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Grand Total</w:t>
            </w:r>
          </w:p>
        </w:tc>
        <w:tc>
          <w:tcPr>
            <w:tcW w:w="1788" w:type="dxa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F2A67"/>
              </w:rPr>
              <w:t xml:space="preserve">Rs. 1,19,746.00</w:t>
            </w:r>
          </w:p>
        </w:tc>
      </w:tr>
    </w:tbl>
    <w:p>
      <w:pPr>
        <w:spacing w:before="240" w:after="60"/>
      </w:pPr>
      <w:r>
        <w:rPr>
          <w:b/>
        </w:rPr>
        <w:t xml:space="preserve">Terms &amp; Conditions</w:t>
      </w:r>
    </w:p>
    <w:p>
      <w:pPr>
        <w:spacing w:before="0" w:after="20"/>
      </w:pPr>
      <w:r>
        <w:rPr>
          <w:color w:val="64748B"/>
        </w:rPr>
        <w:t xml:space="preserve">• Access point locations subject to site check; extra AP at quoted rate.</w:t>
      </w:r>
    </w:p>
    <w:p>
      <w:pPr>
        <w:spacing w:before="0" w:after="20"/>
      </w:pPr>
      <w:r>
        <w:rPr>
          <w:color w:val="64748B"/>
        </w:rPr>
        <w:t xml:space="preserve">• Internet connection and ISP router by customer.</w:t>
      </w:r>
    </w:p>
    <w:p>
      <w:pPr>
        <w:spacing w:before="0" w:after="20"/>
      </w:pPr>
      <w:r>
        <w:rPr>
          <w:color w:val="64748B"/>
        </w:rPr>
        <w:t xml:space="preserve">• Power points near rack and access points by customer's electrician.</w:t>
      </w:r>
    </w:p>
    <w:p>
      <w:pPr>
        <w:spacing w:before="0" w:after="20"/>
      </w:pPr>
      <w:r>
        <w:rPr>
          <w:color w:val="64748B"/>
        </w:rPr>
        <w:t xml:space="preserve">• Warranty: active equipment as per manufacturer; cabling workmanship 1 year.</w:t>
      </w:r>
    </w:p>
    <w:p>
      <w:pPr>
        <w:spacing w:before="240" w:after="40"/>
      </w:pPr>
      <w:r>
        <w:rPr>
          <w:b/>
        </w:rPr>
        <w:t xml:space="preserve">Bank / UPI details (sample)</w:t>
      </w:r>
    </w:p>
    <w:p>
      <w:pPr>
        <w:spacing w:before="0" w:after="20"/>
      </w:pPr>
      <w:r>
        <w:t xml:space="preserve">Sample Bank, A/c 000123456789, IFSC SAMP0001234</w:t>
      </w:r>
    </w:p>
    <w:p>
      <w:pPr>
        <w:spacing w:before="0" w:after="240"/>
      </w:pPr>
      <w:r>
        <w:t xml:space="preserve">UPI: netlinkinfrasolutions@upi</w:t>
      </w:r>
    </w:p>
    <w:p>
      <w:pPr>
        <w:spacing w:before="0" w:after="20"/>
        <w:jc w:val="right"/>
      </w:pPr>
      <w:r>
        <w:rPr>
          <w:b/>
        </w:rPr>
        <w:t xml:space="preserve">For NetLink Infra Solutions</w:t>
      </w:r>
    </w:p>
    <w:p>
      <w:pPr>
        <w:spacing w:before="0" w:after="0"/>
        <w:jc w:val="right"/>
      </w:pPr>
      <w:r>
        <w:drawing>
          <wp:inline distT="0" distB="0" distL="0" distR="0">
            <wp:extent cx="1524000" cy="457200"/>
            <wp:docPr id="1" name="Sample signature" descr="Sample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ple signature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right"/>
      </w:pPr>
      <w:r>
        <w:rPr>
          <w:color w:val="64748B"/>
        </w:rPr>
        <w:t xml:space="preserve">Authorised signatory</w:t>
      </w:r>
    </w:p>
    <w:p>
      <w:pPr>
        <w:spacing w:before="0" w:after="20"/>
        <w:jc w:val="right"/>
      </w:pPr>
      <w:r>
        <w:drawing>
          <wp:inline distT="0" distB="0" distL="0" distR="0">
            <wp:extent cx="939800" cy="939800"/>
            <wp:docPr id="2" name="Sample payment QR code" descr="Sample payment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mple payment QR cod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40"/>
        <w:jc w:val="right"/>
      </w:pPr>
      <w:r>
        <w:rPr>
          <w:color w:val="64748B"/>
          <w:sz w:val="16"/>
          <w:szCs w:val="16"/>
        </w:rPr>
        <w:t xml:space="preserve">Scan to Pay (sample)</w:t>
      </w:r>
    </w:p>
    <w:p>
      <w:pPr>
        <w:spacing w:before="0" w:after="0"/>
      </w:pPr>
      <w:r>
        <w:rPr>
          <w:color w:val="666666"/>
          <w:sz w:val="16"/>
          <w:szCs w:val="16"/>
        </w:rPr>
        <w:t xml:space="preserve">Sample for reference. GSTIN, bank and UPI details are made up. Confirm GST rates with your accountant.</w:t>
      </w:r>
    </w:p>
    <w:sectPr>
      <w:footerReference w:type="default" r:id="rId1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color w:val="666666"/>
        <w:sz w:val="16"/>
        <w:szCs w:val="16"/>
      </w:rPr>
      <w:t xml:space="preserve">Made with Quotely Pro — quotelypro.in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lang w:val="en-IN"/>
      </w:rPr>
    </w:rPrDefault>
    <w:pPrDefault>
      <w:pPr>
        <w:spacing w:after="60" w:line="259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footer" Target="footer1.xml"/>
<Relationship Id="rId2" Type="http://schemas.openxmlformats.org/officeDocument/2006/relationships/styles" Target="styles.xml"/>
<Relationship Id="rId3" Type="http://schemas.openxmlformats.org/officeDocument/2006/relationships/image" Target="media/signature.png"/>
<Relationship Id="rId4" Type="http://schemas.openxmlformats.org/officeDocument/2006/relationships/image" Target="media/qr.png"/>
</Relationships>
</file>